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5EE0" w14:textId="77777777" w:rsidR="00E0449D" w:rsidRDefault="00E0449D" w:rsidP="42093A86">
      <w:pPr>
        <w:spacing w:line="256" w:lineRule="auto"/>
        <w:ind w:right="11"/>
        <w:rPr>
          <w:b/>
          <w:bCs/>
          <w:color w:val="000000" w:themeColor="text1"/>
          <w:sz w:val="32"/>
          <w:szCs w:val="32"/>
        </w:rPr>
      </w:pPr>
    </w:p>
    <w:p w14:paraId="05EAB307" w14:textId="67F72AAD" w:rsidR="00511644" w:rsidRDefault="00511644" w:rsidP="42093A86">
      <w:pPr>
        <w:spacing w:line="256" w:lineRule="auto"/>
        <w:ind w:right="11"/>
        <w:rPr>
          <w:b/>
          <w:bCs/>
          <w:color w:val="000000" w:themeColor="text1"/>
          <w:sz w:val="32"/>
          <w:szCs w:val="32"/>
        </w:rPr>
      </w:pPr>
      <w:r w:rsidRPr="42093A86">
        <w:rPr>
          <w:b/>
          <w:bCs/>
          <w:color w:val="000000" w:themeColor="text1"/>
          <w:sz w:val="32"/>
          <w:szCs w:val="32"/>
        </w:rPr>
        <w:t>ADMISSIONS APPEALS TIMETABLE (20</w:t>
      </w:r>
      <w:r w:rsidR="00C60CAD">
        <w:rPr>
          <w:b/>
          <w:bCs/>
          <w:color w:val="000000" w:themeColor="text1"/>
          <w:sz w:val="32"/>
          <w:szCs w:val="32"/>
        </w:rPr>
        <w:t>25-</w:t>
      </w:r>
      <w:r w:rsidRPr="42093A86">
        <w:rPr>
          <w:b/>
          <w:bCs/>
          <w:color w:val="000000" w:themeColor="text1"/>
          <w:sz w:val="32"/>
          <w:szCs w:val="32"/>
        </w:rPr>
        <w:t>2</w:t>
      </w:r>
      <w:r w:rsidR="0036273A">
        <w:rPr>
          <w:b/>
          <w:bCs/>
          <w:color w:val="000000" w:themeColor="text1"/>
          <w:sz w:val="32"/>
          <w:szCs w:val="32"/>
        </w:rPr>
        <w:t>6</w:t>
      </w:r>
      <w:r w:rsidRPr="42093A86">
        <w:rPr>
          <w:b/>
          <w:bCs/>
          <w:color w:val="000000" w:themeColor="text1"/>
          <w:sz w:val="32"/>
          <w:szCs w:val="32"/>
        </w:rPr>
        <w:t>)</w:t>
      </w:r>
    </w:p>
    <w:p w14:paraId="17E2BAE2" w14:textId="77777777" w:rsidR="00511644" w:rsidRPr="002A09C2" w:rsidRDefault="00511644" w:rsidP="00511644">
      <w:pPr>
        <w:spacing w:line="256" w:lineRule="auto"/>
        <w:ind w:left="51"/>
        <w:rPr>
          <w:sz w:val="12"/>
          <w:szCs w:val="10"/>
        </w:rPr>
      </w:pPr>
      <w:r w:rsidRPr="002A09C2">
        <w:rPr>
          <w:b/>
          <w:color w:val="000000"/>
          <w:sz w:val="12"/>
          <w:szCs w:val="10"/>
        </w:rPr>
        <w:t xml:space="preserve"> </w:t>
      </w:r>
    </w:p>
    <w:p w14:paraId="70283170" w14:textId="001AC929" w:rsidR="00511644" w:rsidRDefault="00511644" w:rsidP="00511644">
      <w:pPr>
        <w:ind w:left="-5"/>
        <w:jc w:val="both"/>
        <w:rPr>
          <w:sz w:val="22"/>
          <w:szCs w:val="20"/>
        </w:rPr>
      </w:pPr>
      <w:r w:rsidRPr="00EA0B2C">
        <w:rPr>
          <w:sz w:val="22"/>
          <w:szCs w:val="20"/>
        </w:rPr>
        <w:t xml:space="preserve">A new School Admission Appeals Code was published by the Department for Education on </w:t>
      </w:r>
      <w:r w:rsidR="00057541">
        <w:rPr>
          <w:sz w:val="22"/>
          <w:szCs w:val="20"/>
        </w:rPr>
        <w:t xml:space="preserve">the </w:t>
      </w:r>
      <w:r w:rsidRPr="00EA0B2C">
        <w:rPr>
          <w:sz w:val="22"/>
          <w:szCs w:val="20"/>
        </w:rPr>
        <w:t>1</w:t>
      </w:r>
      <w:r w:rsidR="00057541" w:rsidRPr="00057541">
        <w:rPr>
          <w:sz w:val="22"/>
          <w:szCs w:val="20"/>
          <w:vertAlign w:val="superscript"/>
        </w:rPr>
        <w:t>st</w:t>
      </w:r>
      <w:r w:rsidR="00057541">
        <w:rPr>
          <w:sz w:val="22"/>
          <w:szCs w:val="20"/>
        </w:rPr>
        <w:t xml:space="preserve"> </w:t>
      </w:r>
      <w:r>
        <w:rPr>
          <w:sz w:val="22"/>
          <w:szCs w:val="20"/>
        </w:rPr>
        <w:t>October</w:t>
      </w:r>
      <w:r w:rsidRPr="00EA0B2C">
        <w:rPr>
          <w:sz w:val="22"/>
          <w:szCs w:val="20"/>
        </w:rPr>
        <w:t xml:space="preserve"> 20</w:t>
      </w:r>
      <w:r>
        <w:rPr>
          <w:sz w:val="22"/>
          <w:szCs w:val="20"/>
        </w:rPr>
        <w:t>2</w:t>
      </w:r>
      <w:r w:rsidRPr="00EA0B2C">
        <w:rPr>
          <w:sz w:val="22"/>
          <w:szCs w:val="20"/>
        </w:rPr>
        <w:t>2,</w:t>
      </w:r>
      <w:r>
        <w:rPr>
          <w:sz w:val="22"/>
          <w:szCs w:val="20"/>
        </w:rPr>
        <w:t xml:space="preserve"> </w:t>
      </w:r>
      <w:r w:rsidRPr="00EA0B2C">
        <w:rPr>
          <w:sz w:val="22"/>
          <w:szCs w:val="20"/>
        </w:rPr>
        <w:t>and it applies to all appeals lodged on or after that date.  The Code imposes a timetable for organising and hearing school admission appeals.</w:t>
      </w:r>
    </w:p>
    <w:p w14:paraId="48CFC9F6" w14:textId="77777777" w:rsidR="000964E0" w:rsidRPr="00EA0B2C" w:rsidRDefault="000964E0" w:rsidP="00511644">
      <w:pPr>
        <w:ind w:left="-5"/>
        <w:jc w:val="both"/>
        <w:rPr>
          <w:sz w:val="22"/>
          <w:szCs w:val="20"/>
        </w:rPr>
      </w:pPr>
    </w:p>
    <w:p w14:paraId="07E662E1" w14:textId="77777777" w:rsidR="00511644" w:rsidRDefault="00511644" w:rsidP="000964E0">
      <w:pPr>
        <w:pStyle w:val="Heading1"/>
        <w:spacing w:before="0"/>
        <w:ind w:left="-6"/>
        <w:jc w:val="both"/>
      </w:pPr>
      <w:r>
        <w:t xml:space="preserve">In Year Entry Appeals </w:t>
      </w:r>
    </w:p>
    <w:p w14:paraId="44703EEA" w14:textId="539FEE6C" w:rsidR="00511644" w:rsidRPr="006E0A45" w:rsidRDefault="00511644" w:rsidP="000964E0">
      <w:pPr>
        <w:pStyle w:val="Heading1"/>
        <w:spacing w:before="0"/>
        <w:ind w:left="-6"/>
        <w:jc w:val="both"/>
        <w:rPr>
          <w:rFonts w:ascii="Arial" w:hAnsi="Arial" w:cs="Arial"/>
          <w:b/>
          <w:color w:val="333333"/>
          <w:sz w:val="22"/>
          <w:szCs w:val="20"/>
        </w:rPr>
      </w:pPr>
      <w:r w:rsidRPr="00511644">
        <w:rPr>
          <w:rFonts w:ascii="Arial" w:hAnsi="Arial" w:cs="Arial"/>
          <w:color w:val="333333"/>
          <w:sz w:val="22"/>
          <w:szCs w:val="20"/>
        </w:rPr>
        <w:t xml:space="preserve">Appeals resulting from in year admission applications will be heard within 30 school days of the appeal being lodged. </w:t>
      </w:r>
    </w:p>
    <w:p w14:paraId="212A75A5" w14:textId="77777777" w:rsidR="00511644" w:rsidRDefault="00511644" w:rsidP="00511644">
      <w:pPr>
        <w:pStyle w:val="Heading1"/>
        <w:ind w:left="-5"/>
        <w:jc w:val="both"/>
      </w:pPr>
      <w:r>
        <w:t xml:space="preserve">September Entry </w:t>
      </w:r>
    </w:p>
    <w:p w14:paraId="74EFFE39" w14:textId="77777777" w:rsidR="00511644" w:rsidRPr="00EA0B2C" w:rsidRDefault="00511644" w:rsidP="00511644">
      <w:pPr>
        <w:ind w:left="-5"/>
        <w:jc w:val="both"/>
        <w:rPr>
          <w:sz w:val="22"/>
          <w:szCs w:val="20"/>
        </w:rPr>
      </w:pPr>
      <w:r w:rsidRPr="00EA0B2C">
        <w:rPr>
          <w:sz w:val="22"/>
          <w:szCs w:val="20"/>
        </w:rPr>
        <w:t xml:space="preserve">Appeals resulting from applications for admission in September will be heard according to the following timetable: </w:t>
      </w:r>
    </w:p>
    <w:p w14:paraId="35F8D542" w14:textId="77777777" w:rsidR="00511644" w:rsidRPr="00EF7944" w:rsidRDefault="00511644" w:rsidP="00511644">
      <w:pPr>
        <w:spacing w:line="256" w:lineRule="auto"/>
        <w:rPr>
          <w:sz w:val="16"/>
          <w:szCs w:val="14"/>
        </w:rPr>
      </w:pPr>
      <w:r w:rsidRPr="00EA0B2C">
        <w:rPr>
          <w:sz w:val="28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494"/>
        <w:gridCol w:w="2636"/>
        <w:gridCol w:w="2637"/>
      </w:tblGrid>
      <w:tr w:rsidR="00511644" w:rsidRPr="00EA0B2C" w14:paraId="77E77C3A" w14:textId="77777777" w:rsidTr="42093A86">
        <w:tc>
          <w:tcPr>
            <w:tcW w:w="2689" w:type="dxa"/>
            <w:shd w:val="clear" w:color="auto" w:fill="D9D9D9" w:themeFill="background1" w:themeFillShade="D9"/>
          </w:tcPr>
          <w:p w14:paraId="261A04E4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494" w:type="dxa"/>
            <w:shd w:val="clear" w:color="auto" w:fill="D9D9D9" w:themeFill="background1" w:themeFillShade="D9"/>
          </w:tcPr>
          <w:p w14:paraId="4F3A7658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Our First Schools:</w:t>
            </w:r>
          </w:p>
          <w:p w14:paraId="10DAEDCE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Holyoakes Field First</w:t>
            </w:r>
          </w:p>
        </w:tc>
        <w:tc>
          <w:tcPr>
            <w:tcW w:w="2636" w:type="dxa"/>
            <w:shd w:val="clear" w:color="auto" w:fill="D9D9D9" w:themeFill="background1" w:themeFillShade="D9"/>
          </w:tcPr>
          <w:p w14:paraId="39E1B787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Our Middle Schools:</w:t>
            </w:r>
          </w:p>
          <w:p w14:paraId="234A78A8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Birchensale Middle</w:t>
            </w:r>
            <w:r>
              <w:rPr>
                <w:sz w:val="22"/>
                <w:szCs w:val="20"/>
              </w:rPr>
              <w:t xml:space="preserve"> &amp; Woodfield Academy</w:t>
            </w:r>
          </w:p>
        </w:tc>
        <w:tc>
          <w:tcPr>
            <w:tcW w:w="2637" w:type="dxa"/>
            <w:shd w:val="clear" w:color="auto" w:fill="D9D9D9" w:themeFill="background1" w:themeFillShade="D9"/>
          </w:tcPr>
          <w:p w14:paraId="7B038ADC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Our High Schools:</w:t>
            </w:r>
          </w:p>
          <w:p w14:paraId="51F32536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Trinity High</w:t>
            </w:r>
          </w:p>
        </w:tc>
      </w:tr>
      <w:tr w:rsidR="00511644" w:rsidRPr="00EA0B2C" w14:paraId="3B688F8B" w14:textId="77777777" w:rsidTr="42093A86">
        <w:tc>
          <w:tcPr>
            <w:tcW w:w="2689" w:type="dxa"/>
            <w:shd w:val="clear" w:color="auto" w:fill="D9D9D9" w:themeFill="background1" w:themeFillShade="D9"/>
          </w:tcPr>
          <w:p w14:paraId="0695C7B1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Offer Date</w:t>
            </w:r>
          </w:p>
        </w:tc>
        <w:tc>
          <w:tcPr>
            <w:tcW w:w="2494" w:type="dxa"/>
            <w:vAlign w:val="center"/>
          </w:tcPr>
          <w:p w14:paraId="3B1A8647" w14:textId="4E88C268" w:rsidR="00511644" w:rsidRPr="00EA0B2C" w:rsidRDefault="00511644" w:rsidP="00243F0A">
            <w:pPr>
              <w:spacing w:line="256" w:lineRule="auto"/>
              <w:rPr>
                <w:sz w:val="22"/>
                <w:szCs w:val="22"/>
              </w:rPr>
            </w:pPr>
            <w:r w:rsidRPr="42093A86">
              <w:rPr>
                <w:sz w:val="22"/>
                <w:szCs w:val="22"/>
              </w:rPr>
              <w:t>16</w:t>
            </w:r>
            <w:r w:rsidRPr="42093A86">
              <w:rPr>
                <w:sz w:val="22"/>
                <w:szCs w:val="22"/>
                <w:vertAlign w:val="superscript"/>
              </w:rPr>
              <w:t>th</w:t>
            </w:r>
            <w:r w:rsidRPr="42093A86">
              <w:rPr>
                <w:sz w:val="22"/>
                <w:szCs w:val="22"/>
              </w:rPr>
              <w:t xml:space="preserve"> April 202</w:t>
            </w:r>
            <w:r w:rsidR="00F66D69">
              <w:rPr>
                <w:sz w:val="22"/>
                <w:szCs w:val="22"/>
              </w:rPr>
              <w:t>5</w:t>
            </w:r>
          </w:p>
        </w:tc>
        <w:tc>
          <w:tcPr>
            <w:tcW w:w="2636" w:type="dxa"/>
            <w:vAlign w:val="center"/>
          </w:tcPr>
          <w:p w14:paraId="039E1562" w14:textId="0C95BE8A" w:rsidR="00511644" w:rsidRPr="00EA0B2C" w:rsidRDefault="00511644" w:rsidP="00243F0A">
            <w:pPr>
              <w:spacing w:line="256" w:lineRule="auto"/>
              <w:rPr>
                <w:sz w:val="22"/>
                <w:szCs w:val="22"/>
              </w:rPr>
            </w:pPr>
            <w:r w:rsidRPr="42093A86">
              <w:rPr>
                <w:sz w:val="22"/>
                <w:szCs w:val="22"/>
              </w:rPr>
              <w:t>16</w:t>
            </w:r>
            <w:r w:rsidRPr="42093A86">
              <w:rPr>
                <w:sz w:val="22"/>
                <w:szCs w:val="22"/>
                <w:vertAlign w:val="superscript"/>
              </w:rPr>
              <w:t>th</w:t>
            </w:r>
            <w:r w:rsidRPr="42093A86">
              <w:rPr>
                <w:sz w:val="22"/>
                <w:szCs w:val="22"/>
              </w:rPr>
              <w:t xml:space="preserve"> April 202</w:t>
            </w:r>
            <w:r w:rsidR="00F66D69">
              <w:rPr>
                <w:sz w:val="22"/>
                <w:szCs w:val="22"/>
              </w:rPr>
              <w:t>5</w:t>
            </w:r>
          </w:p>
        </w:tc>
        <w:tc>
          <w:tcPr>
            <w:tcW w:w="2637" w:type="dxa"/>
            <w:vAlign w:val="center"/>
          </w:tcPr>
          <w:p w14:paraId="62A6FDEE" w14:textId="1C23961B" w:rsidR="00511644" w:rsidRPr="00EA0B2C" w:rsidRDefault="00B361E0" w:rsidP="00243F0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361E0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</w:t>
            </w:r>
            <w:r w:rsidR="00511644" w:rsidRPr="42093A86">
              <w:rPr>
                <w:sz w:val="22"/>
                <w:szCs w:val="22"/>
              </w:rPr>
              <w:t>March 202</w:t>
            </w:r>
            <w:r w:rsidR="00F66D69">
              <w:rPr>
                <w:sz w:val="22"/>
                <w:szCs w:val="22"/>
              </w:rPr>
              <w:t>5</w:t>
            </w:r>
          </w:p>
        </w:tc>
      </w:tr>
      <w:tr w:rsidR="00511644" w:rsidRPr="00EA0B2C" w14:paraId="23340168" w14:textId="77777777" w:rsidTr="42093A86">
        <w:tc>
          <w:tcPr>
            <w:tcW w:w="2689" w:type="dxa"/>
            <w:shd w:val="clear" w:color="auto" w:fill="D9D9D9" w:themeFill="background1" w:themeFillShade="D9"/>
          </w:tcPr>
          <w:p w14:paraId="3557998B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Appeals to be lodged by: (2</w:t>
            </w:r>
            <w:r>
              <w:rPr>
                <w:sz w:val="22"/>
                <w:szCs w:val="20"/>
              </w:rPr>
              <w:t>0</w:t>
            </w:r>
            <w:r w:rsidRPr="00EA0B2C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school</w:t>
            </w:r>
            <w:r w:rsidRPr="00EA0B2C">
              <w:rPr>
                <w:sz w:val="22"/>
                <w:szCs w:val="20"/>
              </w:rPr>
              <w:t xml:space="preserve"> days)</w:t>
            </w:r>
          </w:p>
        </w:tc>
        <w:tc>
          <w:tcPr>
            <w:tcW w:w="2494" w:type="dxa"/>
            <w:vAlign w:val="center"/>
          </w:tcPr>
          <w:p w14:paraId="7CAA3F5C" w14:textId="2D9D0F70" w:rsidR="00511644" w:rsidRPr="00EA0B2C" w:rsidRDefault="00F66D69" w:rsidP="00243F0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66D69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June</w:t>
            </w:r>
            <w:r w:rsidR="00511644" w:rsidRPr="42093A8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36" w:type="dxa"/>
            <w:vAlign w:val="center"/>
          </w:tcPr>
          <w:p w14:paraId="2A4DB2C5" w14:textId="36003D74" w:rsidR="00511644" w:rsidRPr="00EA0B2C" w:rsidRDefault="00F66D69" w:rsidP="00243F0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66D69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June 2025</w:t>
            </w:r>
          </w:p>
        </w:tc>
        <w:tc>
          <w:tcPr>
            <w:tcW w:w="2637" w:type="dxa"/>
            <w:vAlign w:val="center"/>
          </w:tcPr>
          <w:p w14:paraId="01CFFD45" w14:textId="323D0D3D" w:rsidR="00511644" w:rsidRPr="00EA0B2C" w:rsidRDefault="00F66D69" w:rsidP="42093A86">
            <w:pPr>
              <w:spacing w:line="256" w:lineRule="auto"/>
            </w:pPr>
            <w:r>
              <w:rPr>
                <w:sz w:val="22"/>
                <w:szCs w:val="22"/>
              </w:rPr>
              <w:t>28</w:t>
            </w:r>
            <w:r w:rsidRPr="00F66D6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 2025</w:t>
            </w:r>
          </w:p>
        </w:tc>
      </w:tr>
      <w:tr w:rsidR="00511644" w:rsidRPr="00EA0B2C" w14:paraId="01DEE3AE" w14:textId="77777777" w:rsidTr="42093A86">
        <w:tc>
          <w:tcPr>
            <w:tcW w:w="2689" w:type="dxa"/>
            <w:shd w:val="clear" w:color="auto" w:fill="D9D9D9" w:themeFill="background1" w:themeFillShade="D9"/>
          </w:tcPr>
          <w:p w14:paraId="1D26B53F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Appeals heard by:</w:t>
            </w:r>
          </w:p>
          <w:p w14:paraId="710400C9" w14:textId="77777777" w:rsidR="00511644" w:rsidRPr="00EA0B2C" w:rsidRDefault="00511644" w:rsidP="00243F0A">
            <w:pPr>
              <w:spacing w:line="256" w:lineRule="auto"/>
              <w:rPr>
                <w:sz w:val="22"/>
                <w:szCs w:val="20"/>
              </w:rPr>
            </w:pPr>
            <w:r w:rsidRPr="00EA0B2C">
              <w:rPr>
                <w:sz w:val="22"/>
                <w:szCs w:val="20"/>
              </w:rPr>
              <w:t>(</w:t>
            </w:r>
            <w:r>
              <w:rPr>
                <w:sz w:val="22"/>
                <w:szCs w:val="20"/>
              </w:rPr>
              <w:t>40 school days</w:t>
            </w:r>
            <w:r w:rsidRPr="00EA0B2C">
              <w:rPr>
                <w:sz w:val="22"/>
                <w:szCs w:val="20"/>
              </w:rPr>
              <w:t>)</w:t>
            </w:r>
          </w:p>
        </w:tc>
        <w:tc>
          <w:tcPr>
            <w:tcW w:w="2494" w:type="dxa"/>
            <w:vAlign w:val="center"/>
          </w:tcPr>
          <w:p w14:paraId="419F0320" w14:textId="7877C4B1" w:rsidR="00511644" w:rsidRPr="00EA0B2C" w:rsidRDefault="00F66D69" w:rsidP="00243F0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66D6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September 2025</w:t>
            </w:r>
          </w:p>
        </w:tc>
        <w:tc>
          <w:tcPr>
            <w:tcW w:w="2636" w:type="dxa"/>
            <w:vAlign w:val="center"/>
          </w:tcPr>
          <w:p w14:paraId="0C47AFE1" w14:textId="38226B9A" w:rsidR="00511644" w:rsidRPr="00EA0B2C" w:rsidRDefault="00F66D69" w:rsidP="00243F0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66D6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September 2025</w:t>
            </w:r>
          </w:p>
        </w:tc>
        <w:tc>
          <w:tcPr>
            <w:tcW w:w="2637" w:type="dxa"/>
            <w:vAlign w:val="center"/>
          </w:tcPr>
          <w:p w14:paraId="353308A1" w14:textId="742C9433" w:rsidR="00511644" w:rsidRPr="00EA0B2C" w:rsidRDefault="00462E7E" w:rsidP="00243F0A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462E7E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June 2025</w:t>
            </w:r>
          </w:p>
        </w:tc>
      </w:tr>
    </w:tbl>
    <w:p w14:paraId="4755B60D" w14:textId="77777777" w:rsidR="00800BF7" w:rsidRDefault="00800BF7" w:rsidP="00511644">
      <w:pPr>
        <w:spacing w:after="15" w:line="256" w:lineRule="auto"/>
        <w:jc w:val="both"/>
        <w:rPr>
          <w:sz w:val="22"/>
          <w:szCs w:val="20"/>
        </w:rPr>
      </w:pPr>
    </w:p>
    <w:p w14:paraId="1C8BB6DD" w14:textId="35062211" w:rsidR="00511644" w:rsidRPr="006E0A45" w:rsidRDefault="00511644" w:rsidP="00511644">
      <w:pPr>
        <w:spacing w:after="15" w:line="256" w:lineRule="auto"/>
        <w:jc w:val="both"/>
        <w:rPr>
          <w:sz w:val="22"/>
          <w:szCs w:val="20"/>
        </w:rPr>
      </w:pPr>
      <w:r w:rsidRPr="00EA0B2C">
        <w:rPr>
          <w:sz w:val="22"/>
          <w:szCs w:val="20"/>
        </w:rPr>
        <w:t>Appeals lodged after these dates</w:t>
      </w:r>
      <w:r>
        <w:rPr>
          <w:sz w:val="22"/>
          <w:szCs w:val="20"/>
        </w:rPr>
        <w:t xml:space="preserve"> </w:t>
      </w:r>
      <w:r w:rsidRPr="00B62D2B">
        <w:rPr>
          <w:sz w:val="22"/>
          <w:szCs w:val="20"/>
        </w:rPr>
        <w:t>should be heard within 40 school days from the deadline for lodging appeals where possible, or within 30 school days of the appeal being lodged</w:t>
      </w:r>
      <w:r>
        <w:rPr>
          <w:sz w:val="22"/>
          <w:szCs w:val="20"/>
        </w:rPr>
        <w:t>.</w:t>
      </w:r>
    </w:p>
    <w:p w14:paraId="36F301E5" w14:textId="77777777" w:rsidR="00511644" w:rsidRDefault="00511644" w:rsidP="00511644">
      <w:pPr>
        <w:pStyle w:val="Heading1"/>
        <w:ind w:left="-5"/>
        <w:jc w:val="both"/>
      </w:pPr>
      <w:r>
        <w:t xml:space="preserve">Trinity High - Sixth Form </w:t>
      </w:r>
    </w:p>
    <w:p w14:paraId="45A2DD85" w14:textId="365AFF60" w:rsidR="00511644" w:rsidRPr="006E0A45" w:rsidRDefault="00511644" w:rsidP="00511644">
      <w:pPr>
        <w:spacing w:after="15" w:line="256" w:lineRule="auto"/>
        <w:jc w:val="both"/>
        <w:rPr>
          <w:sz w:val="22"/>
          <w:szCs w:val="20"/>
        </w:rPr>
      </w:pPr>
      <w:r w:rsidRPr="00EA0B2C">
        <w:rPr>
          <w:sz w:val="22"/>
          <w:szCs w:val="20"/>
        </w:rPr>
        <w:t xml:space="preserve">Where the offer of a place would have been conditional upon exam results, appeals must be heard </w:t>
      </w:r>
      <w:r>
        <w:rPr>
          <w:sz w:val="22"/>
          <w:szCs w:val="20"/>
        </w:rPr>
        <w:t>within 30 school days</w:t>
      </w:r>
      <w:r w:rsidRPr="00EA0B2C">
        <w:rPr>
          <w:sz w:val="22"/>
          <w:szCs w:val="20"/>
        </w:rPr>
        <w:t xml:space="preserve"> of confirmation of those results. Where the offer of a place would not have been conditional upon exam results, appeals must be heard </w:t>
      </w:r>
      <w:r>
        <w:rPr>
          <w:sz w:val="22"/>
          <w:szCs w:val="20"/>
        </w:rPr>
        <w:t>within 40 school days</w:t>
      </w:r>
      <w:r w:rsidRPr="00EA0B2C">
        <w:rPr>
          <w:sz w:val="22"/>
          <w:szCs w:val="20"/>
        </w:rPr>
        <w:t xml:space="preserve"> of the deadline for lodging appeals. </w:t>
      </w:r>
    </w:p>
    <w:p w14:paraId="1419137B" w14:textId="77777777" w:rsidR="00511644" w:rsidRDefault="00511644" w:rsidP="00511644">
      <w:pPr>
        <w:pStyle w:val="Heading1"/>
        <w:ind w:left="-5"/>
        <w:jc w:val="both"/>
      </w:pPr>
      <w:r>
        <w:t xml:space="preserve">Notification to Parents </w:t>
      </w:r>
    </w:p>
    <w:p w14:paraId="210D1932" w14:textId="77777777" w:rsidR="00511644" w:rsidRPr="00EA0B2C" w:rsidRDefault="00511644" w:rsidP="00511644">
      <w:pPr>
        <w:spacing w:line="256" w:lineRule="auto"/>
        <w:jc w:val="both"/>
        <w:rPr>
          <w:sz w:val="22"/>
          <w:szCs w:val="20"/>
        </w:rPr>
      </w:pPr>
      <w:r>
        <w:rPr>
          <w:sz w:val="22"/>
          <w:szCs w:val="20"/>
        </w:rPr>
        <w:t>Parents</w:t>
      </w:r>
      <w:r w:rsidRPr="00EA0B2C">
        <w:rPr>
          <w:sz w:val="22"/>
          <w:szCs w:val="20"/>
        </w:rPr>
        <w:t xml:space="preserve"> will receive </w:t>
      </w:r>
      <w:r>
        <w:rPr>
          <w:sz w:val="22"/>
          <w:szCs w:val="20"/>
        </w:rPr>
        <w:t>10 school</w:t>
      </w:r>
      <w:r w:rsidRPr="00EA0B2C">
        <w:rPr>
          <w:sz w:val="22"/>
          <w:szCs w:val="20"/>
        </w:rPr>
        <w:t xml:space="preserve"> days’ notice of the time and date of the appeal hearing. </w:t>
      </w:r>
      <w:r>
        <w:rPr>
          <w:sz w:val="22"/>
          <w:szCs w:val="20"/>
        </w:rPr>
        <w:t xml:space="preserve"> The notice will document </w:t>
      </w:r>
      <w:r w:rsidRPr="004F718C">
        <w:rPr>
          <w:sz w:val="22"/>
          <w:szCs w:val="20"/>
        </w:rPr>
        <w:t xml:space="preserve">reasonable deadlines for </w:t>
      </w:r>
      <w:r>
        <w:rPr>
          <w:sz w:val="22"/>
          <w:szCs w:val="20"/>
        </w:rPr>
        <w:t>parents</w:t>
      </w:r>
      <w:r w:rsidRPr="004F718C">
        <w:rPr>
          <w:sz w:val="22"/>
          <w:szCs w:val="20"/>
        </w:rPr>
        <w:t xml:space="preserve"> to submit additional evidence, for </w:t>
      </w:r>
      <w:r>
        <w:rPr>
          <w:sz w:val="22"/>
          <w:szCs w:val="20"/>
        </w:rPr>
        <w:t>the school</w:t>
      </w:r>
      <w:r w:rsidRPr="004F718C">
        <w:rPr>
          <w:sz w:val="22"/>
          <w:szCs w:val="20"/>
        </w:rPr>
        <w:t xml:space="preserve"> to submit their evidence, and for the clerk to send appeal papers to the panel and parties</w:t>
      </w:r>
      <w:r>
        <w:rPr>
          <w:sz w:val="22"/>
          <w:szCs w:val="20"/>
        </w:rPr>
        <w:t>.</w:t>
      </w:r>
      <w:r w:rsidRPr="004F718C">
        <w:rPr>
          <w:sz w:val="22"/>
          <w:szCs w:val="20"/>
        </w:rPr>
        <w:cr/>
      </w:r>
    </w:p>
    <w:p w14:paraId="3A4787AB" w14:textId="63D1A006" w:rsidR="00511644" w:rsidRPr="006E0A45" w:rsidRDefault="00511644" w:rsidP="006E0A45">
      <w:pPr>
        <w:spacing w:line="256" w:lineRule="auto"/>
        <w:jc w:val="both"/>
        <w:rPr>
          <w:sz w:val="22"/>
          <w:szCs w:val="20"/>
        </w:rPr>
      </w:pPr>
      <w:r>
        <w:rPr>
          <w:sz w:val="22"/>
          <w:szCs w:val="20"/>
        </w:rPr>
        <w:t>The appeal’s hearing’s decision letters will be sent within 5 school days of the hearing wherever possible.</w:t>
      </w:r>
    </w:p>
    <w:p w14:paraId="652C7CCA" w14:textId="77777777" w:rsidR="00511644" w:rsidRPr="00BA59A8" w:rsidRDefault="00511644" w:rsidP="006E0A45">
      <w:pPr>
        <w:pStyle w:val="Heading1"/>
      </w:pPr>
      <w:r w:rsidRPr="00BA59A8">
        <w:t xml:space="preserve">Contact </w:t>
      </w:r>
    </w:p>
    <w:p w14:paraId="76BC5122" w14:textId="7F129777" w:rsidR="00511644" w:rsidRPr="00EA0B2C" w:rsidRDefault="00511644" w:rsidP="00511644">
      <w:pPr>
        <w:ind w:left="-5"/>
        <w:jc w:val="both"/>
        <w:rPr>
          <w:sz w:val="22"/>
          <w:szCs w:val="20"/>
        </w:rPr>
      </w:pPr>
      <w:r w:rsidRPr="00EA0B2C">
        <w:rPr>
          <w:sz w:val="22"/>
          <w:szCs w:val="20"/>
        </w:rPr>
        <w:t xml:space="preserve">By post to: </w:t>
      </w:r>
      <w:r>
        <w:rPr>
          <w:sz w:val="22"/>
          <w:szCs w:val="20"/>
        </w:rPr>
        <w:t>Ms Jayne Reynolds</w:t>
      </w:r>
      <w:r w:rsidRPr="00EA0B2C">
        <w:rPr>
          <w:sz w:val="22"/>
          <w:szCs w:val="20"/>
        </w:rPr>
        <w:t xml:space="preserve">, </w:t>
      </w:r>
      <w:r>
        <w:rPr>
          <w:sz w:val="22"/>
          <w:szCs w:val="20"/>
        </w:rPr>
        <w:t>Bordesley Mult-Academy Trust</w:t>
      </w:r>
      <w:r w:rsidR="00E0449D">
        <w:rPr>
          <w:sz w:val="22"/>
          <w:szCs w:val="20"/>
        </w:rPr>
        <w:t xml:space="preserve"> Central Office</w:t>
      </w:r>
      <w:r w:rsidRPr="00EA0B2C">
        <w:rPr>
          <w:sz w:val="22"/>
          <w:szCs w:val="20"/>
        </w:rPr>
        <w:t xml:space="preserve">,  Easemore Road, Redditch, Worcestershire, B98 8HB </w:t>
      </w:r>
      <w:r w:rsidR="00144792">
        <w:rPr>
          <w:sz w:val="22"/>
          <w:szCs w:val="20"/>
        </w:rPr>
        <w:t xml:space="preserve">or by email </w:t>
      </w:r>
      <w:hyperlink r:id="rId11" w:history="1">
        <w:r w:rsidR="00E0449D" w:rsidRPr="00CD28FC">
          <w:rPr>
            <w:rStyle w:val="Hyperlink"/>
            <w:sz w:val="22"/>
            <w:szCs w:val="20"/>
          </w:rPr>
          <w:t>office@bmat.co.uk</w:t>
        </w:r>
      </w:hyperlink>
      <w:r w:rsidR="00E0449D">
        <w:rPr>
          <w:sz w:val="22"/>
          <w:szCs w:val="20"/>
        </w:rPr>
        <w:t xml:space="preserve">. </w:t>
      </w:r>
    </w:p>
    <w:p w14:paraId="318179F1" w14:textId="77777777" w:rsidR="00511644" w:rsidRPr="00F97F83" w:rsidRDefault="00511644" w:rsidP="00511644">
      <w:pPr>
        <w:ind w:left="-5"/>
        <w:rPr>
          <w:sz w:val="20"/>
          <w:szCs w:val="18"/>
        </w:rPr>
      </w:pPr>
    </w:p>
    <w:p w14:paraId="14FB5113" w14:textId="378FBA25" w:rsidR="00104A10" w:rsidRPr="000B0B32" w:rsidRDefault="00104A10" w:rsidP="000B0B32"/>
    <w:sectPr w:rsidR="00104A10" w:rsidRPr="000B0B32" w:rsidSect="00287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720" w:bottom="284" w:left="720" w:header="284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AADE" w14:textId="77777777" w:rsidR="002616A2" w:rsidRDefault="002616A2" w:rsidP="00763252">
      <w:r>
        <w:separator/>
      </w:r>
    </w:p>
  </w:endnote>
  <w:endnote w:type="continuationSeparator" w:id="0">
    <w:p w14:paraId="44188574" w14:textId="77777777" w:rsidR="002616A2" w:rsidRDefault="002616A2" w:rsidP="00763252">
      <w:r>
        <w:continuationSeparator/>
      </w:r>
    </w:p>
  </w:endnote>
  <w:endnote w:type="continuationNotice" w:id="1">
    <w:p w14:paraId="3C61A1E0" w14:textId="77777777" w:rsidR="002616A2" w:rsidRDefault="00261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0B550" w14:textId="77777777" w:rsidR="008D2997" w:rsidRDefault="008D29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636C" w14:textId="77777777" w:rsidR="008D2997" w:rsidRPr="005349BA" w:rsidRDefault="008D2997" w:rsidP="00534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1161" w14:textId="2D8D22A3" w:rsidR="00763252" w:rsidRDefault="005B5976" w:rsidP="00763252">
    <w:pPr>
      <w:pStyle w:val="Defaul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B2770C5" wp14:editId="259D9E4A">
          <wp:simplePos x="0" y="0"/>
          <wp:positionH relativeFrom="column">
            <wp:posOffset>5533242</wp:posOffset>
          </wp:positionH>
          <wp:positionV relativeFrom="paragraph">
            <wp:posOffset>87628</wp:posOffset>
          </wp:positionV>
          <wp:extent cx="583421" cy="655558"/>
          <wp:effectExtent l="0" t="0" r="762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21" cy="655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1DD">
      <w:rPr>
        <w:noProof/>
      </w:rPr>
      <w:drawing>
        <wp:anchor distT="0" distB="0" distL="114300" distR="114300" simplePos="0" relativeHeight="251658243" behindDoc="0" locked="0" layoutInCell="1" allowOverlap="1" wp14:anchorId="7DC92C5D" wp14:editId="6B9BE0CB">
          <wp:simplePos x="0" y="0"/>
          <wp:positionH relativeFrom="margin">
            <wp:posOffset>3741097</wp:posOffset>
          </wp:positionH>
          <wp:positionV relativeFrom="paragraph">
            <wp:posOffset>89227</wp:posOffset>
          </wp:positionV>
          <wp:extent cx="819150" cy="636905"/>
          <wp:effectExtent l="0" t="0" r="0" b="0"/>
          <wp:wrapNone/>
          <wp:docPr id="11" name="Picture 11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drawing of a cartoon charac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1DD">
      <w:rPr>
        <w:noProof/>
      </w:rPr>
      <w:drawing>
        <wp:anchor distT="0" distB="0" distL="114300" distR="114300" simplePos="0" relativeHeight="251658242" behindDoc="0" locked="0" layoutInCell="1" allowOverlap="1" wp14:anchorId="2F77B28E" wp14:editId="0C1B03A7">
          <wp:simplePos x="0" y="0"/>
          <wp:positionH relativeFrom="margin">
            <wp:posOffset>2212550</wp:posOffset>
          </wp:positionH>
          <wp:positionV relativeFrom="paragraph">
            <wp:posOffset>89227</wp:posOffset>
          </wp:positionV>
          <wp:extent cx="571500" cy="656590"/>
          <wp:effectExtent l="0" t="0" r="0" b="0"/>
          <wp:wrapNone/>
          <wp:docPr id="12" name="Picture 1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1DD">
      <w:rPr>
        <w:noProof/>
      </w:rPr>
      <w:drawing>
        <wp:anchor distT="0" distB="0" distL="114300" distR="114300" simplePos="0" relativeHeight="251658240" behindDoc="0" locked="0" layoutInCell="1" allowOverlap="1" wp14:anchorId="11EEF9CC" wp14:editId="4F5BDDD1">
          <wp:simplePos x="0" y="0"/>
          <wp:positionH relativeFrom="column">
            <wp:posOffset>271566</wp:posOffset>
          </wp:positionH>
          <wp:positionV relativeFrom="paragraph">
            <wp:posOffset>66153</wp:posOffset>
          </wp:positionV>
          <wp:extent cx="1133183" cy="6286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183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8EEAE" w14:textId="3DDB9BC2" w:rsidR="00D276A0" w:rsidRDefault="00763252" w:rsidP="00763252">
    <w:pPr>
      <w:pStyle w:val="Footer"/>
    </w:pPr>
    <w:r>
      <w:t xml:space="preserve"> </w:t>
    </w:r>
  </w:p>
  <w:p w14:paraId="0C7FBAD5" w14:textId="2D5A31BA" w:rsidR="00763252" w:rsidRDefault="00763252" w:rsidP="005B5976">
    <w:pPr>
      <w:pStyle w:val="Footer"/>
      <w:tabs>
        <w:tab w:val="left" w:pos="9435"/>
      </w:tabs>
    </w:pPr>
    <w:r>
      <w:tab/>
    </w:r>
    <w:r>
      <w:tab/>
    </w:r>
    <w:r w:rsidR="005B5976">
      <w:tab/>
    </w:r>
  </w:p>
  <w:p w14:paraId="7C18F73C" w14:textId="7E83AF2C" w:rsidR="00763252" w:rsidRDefault="00763252" w:rsidP="00763252">
    <w:pPr>
      <w:pStyle w:val="Footer"/>
    </w:pPr>
  </w:p>
  <w:p w14:paraId="4F21D99F" w14:textId="67C0CD79" w:rsidR="00763252" w:rsidRPr="00C941DD" w:rsidRDefault="00763252" w:rsidP="00C941DD">
    <w:pPr>
      <w:pStyle w:val="Footer"/>
    </w:pPr>
    <w:r>
      <w:t xml:space="preserve"> </w:t>
    </w:r>
  </w:p>
  <w:p w14:paraId="027ADACF" w14:textId="77777777" w:rsidR="00104A10" w:rsidRDefault="00763252" w:rsidP="00104A10">
    <w:pPr>
      <w:pStyle w:val="Footer"/>
      <w:ind w:left="-426" w:right="-307"/>
      <w:rPr>
        <w:sz w:val="18"/>
        <w:szCs w:val="18"/>
      </w:rPr>
    </w:pPr>
    <w:r>
      <w:rPr>
        <w:sz w:val="18"/>
        <w:szCs w:val="18"/>
      </w:rPr>
      <w:t xml:space="preserve">Bordesley Multi Academy Trust, a charitable company limited by guarantee, registered in England and Wales, Company Number 07704968 </w:t>
    </w:r>
  </w:p>
  <w:p w14:paraId="46A2FAF6" w14:textId="7C0C6490" w:rsidR="00763252" w:rsidRDefault="00763252" w:rsidP="00104A10">
    <w:pPr>
      <w:pStyle w:val="Footer"/>
      <w:ind w:left="-426" w:right="-307"/>
    </w:pPr>
    <w:r>
      <w:rPr>
        <w:sz w:val="18"/>
        <w:szCs w:val="18"/>
      </w:rPr>
      <w:t>Registered Office: Trinity High School &amp; Sixth Form Centre, Easemore Road, Redditch, Worcestershire, United Kingdom, B98 8HB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5870E" w14:textId="77777777" w:rsidR="002616A2" w:rsidRDefault="002616A2" w:rsidP="00763252">
      <w:r>
        <w:separator/>
      </w:r>
    </w:p>
  </w:footnote>
  <w:footnote w:type="continuationSeparator" w:id="0">
    <w:p w14:paraId="662ED3EC" w14:textId="77777777" w:rsidR="002616A2" w:rsidRDefault="002616A2" w:rsidP="00763252">
      <w:r>
        <w:continuationSeparator/>
      </w:r>
    </w:p>
  </w:footnote>
  <w:footnote w:type="continuationNotice" w:id="1">
    <w:p w14:paraId="5E2795E4" w14:textId="77777777" w:rsidR="002616A2" w:rsidRDefault="00261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55F0" w14:textId="77777777" w:rsidR="008D2997" w:rsidRDefault="008D2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FC43" w14:textId="77777777" w:rsidR="008D2997" w:rsidRPr="0043031F" w:rsidRDefault="008D2997" w:rsidP="00430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9FFB" w14:textId="3F979AA0" w:rsidR="00763252" w:rsidRDefault="00763252" w:rsidP="00763252">
    <w:pPr>
      <w:pStyle w:val="Header"/>
    </w:pPr>
    <w:r>
      <w:rPr>
        <w:noProof/>
      </w:rPr>
      <w:drawing>
        <wp:inline distT="0" distB="0" distL="0" distR="0" wp14:anchorId="3613CDC2" wp14:editId="38114AF3">
          <wp:extent cx="1587503" cy="762000"/>
          <wp:effectExtent l="0" t="0" r="0" b="0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930" cy="78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1F5"/>
    <w:multiLevelType w:val="hybridMultilevel"/>
    <w:tmpl w:val="26F8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A0F56"/>
    <w:multiLevelType w:val="hybridMultilevel"/>
    <w:tmpl w:val="F7AE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23FE"/>
    <w:multiLevelType w:val="hybridMultilevel"/>
    <w:tmpl w:val="FF9E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3410"/>
    <w:multiLevelType w:val="hybridMultilevel"/>
    <w:tmpl w:val="2DE2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1330B"/>
    <w:multiLevelType w:val="hybridMultilevel"/>
    <w:tmpl w:val="C1BE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73E3D"/>
    <w:multiLevelType w:val="hybridMultilevel"/>
    <w:tmpl w:val="D90071E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BF1507"/>
    <w:multiLevelType w:val="hybridMultilevel"/>
    <w:tmpl w:val="E9D4F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84650">
    <w:abstractNumId w:val="0"/>
  </w:num>
  <w:num w:numId="2" w16cid:durableId="1600219536">
    <w:abstractNumId w:val="3"/>
  </w:num>
  <w:num w:numId="3" w16cid:durableId="1188183211">
    <w:abstractNumId w:val="4"/>
  </w:num>
  <w:num w:numId="4" w16cid:durableId="469515802">
    <w:abstractNumId w:val="5"/>
  </w:num>
  <w:num w:numId="5" w16cid:durableId="1050036282">
    <w:abstractNumId w:val="1"/>
  </w:num>
  <w:num w:numId="6" w16cid:durableId="119612559">
    <w:abstractNumId w:val="2"/>
  </w:num>
  <w:num w:numId="7" w16cid:durableId="115140715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52"/>
    <w:rsid w:val="00007770"/>
    <w:rsid w:val="000157E3"/>
    <w:rsid w:val="00017766"/>
    <w:rsid w:val="000308CF"/>
    <w:rsid w:val="00034F93"/>
    <w:rsid w:val="00035686"/>
    <w:rsid w:val="00042C62"/>
    <w:rsid w:val="00057541"/>
    <w:rsid w:val="0007557D"/>
    <w:rsid w:val="000964E0"/>
    <w:rsid w:val="00097CAA"/>
    <w:rsid w:val="000A2F27"/>
    <w:rsid w:val="000A33C6"/>
    <w:rsid w:val="000A357C"/>
    <w:rsid w:val="000B07CB"/>
    <w:rsid w:val="000B0B32"/>
    <w:rsid w:val="000B2AB9"/>
    <w:rsid w:val="000C1B14"/>
    <w:rsid w:val="000C51E6"/>
    <w:rsid w:val="000D1CF2"/>
    <w:rsid w:val="000E6E30"/>
    <w:rsid w:val="000F1A72"/>
    <w:rsid w:val="000F47E5"/>
    <w:rsid w:val="00104624"/>
    <w:rsid w:val="00104A10"/>
    <w:rsid w:val="00111AC1"/>
    <w:rsid w:val="00115629"/>
    <w:rsid w:val="00144792"/>
    <w:rsid w:val="00146A0F"/>
    <w:rsid w:val="00153FBB"/>
    <w:rsid w:val="00174462"/>
    <w:rsid w:val="00180E34"/>
    <w:rsid w:val="00184243"/>
    <w:rsid w:val="00192BD2"/>
    <w:rsid w:val="001931B2"/>
    <w:rsid w:val="001A129B"/>
    <w:rsid w:val="001A3825"/>
    <w:rsid w:val="001B1FB0"/>
    <w:rsid w:val="001B77C4"/>
    <w:rsid w:val="001F6223"/>
    <w:rsid w:val="00207FE1"/>
    <w:rsid w:val="00212E95"/>
    <w:rsid w:val="0021417A"/>
    <w:rsid w:val="00225392"/>
    <w:rsid w:val="00226EF2"/>
    <w:rsid w:val="002355D5"/>
    <w:rsid w:val="00235E6C"/>
    <w:rsid w:val="00237A75"/>
    <w:rsid w:val="00245150"/>
    <w:rsid w:val="00255152"/>
    <w:rsid w:val="00260450"/>
    <w:rsid w:val="002616A2"/>
    <w:rsid w:val="00261B77"/>
    <w:rsid w:val="00263886"/>
    <w:rsid w:val="0027087D"/>
    <w:rsid w:val="0027091E"/>
    <w:rsid w:val="00271462"/>
    <w:rsid w:val="0027234D"/>
    <w:rsid w:val="00284B2D"/>
    <w:rsid w:val="00287DF6"/>
    <w:rsid w:val="002A117F"/>
    <w:rsid w:val="002A5BCD"/>
    <w:rsid w:val="002B7EA0"/>
    <w:rsid w:val="002E5879"/>
    <w:rsid w:val="002F44BF"/>
    <w:rsid w:val="00312F39"/>
    <w:rsid w:val="003464C1"/>
    <w:rsid w:val="00346EA1"/>
    <w:rsid w:val="003557DE"/>
    <w:rsid w:val="0036273A"/>
    <w:rsid w:val="003735FD"/>
    <w:rsid w:val="003842A6"/>
    <w:rsid w:val="003D6A1F"/>
    <w:rsid w:val="003E1F0D"/>
    <w:rsid w:val="004064A1"/>
    <w:rsid w:val="00413E7F"/>
    <w:rsid w:val="0043031F"/>
    <w:rsid w:val="00433785"/>
    <w:rsid w:val="0043393C"/>
    <w:rsid w:val="0044344C"/>
    <w:rsid w:val="00444955"/>
    <w:rsid w:val="00454206"/>
    <w:rsid w:val="00462E7E"/>
    <w:rsid w:val="004B4B72"/>
    <w:rsid w:val="004C0B8A"/>
    <w:rsid w:val="004C3B3D"/>
    <w:rsid w:val="004C5D89"/>
    <w:rsid w:val="004D21D8"/>
    <w:rsid w:val="004E4EA8"/>
    <w:rsid w:val="004E4F57"/>
    <w:rsid w:val="0050675A"/>
    <w:rsid w:val="00511644"/>
    <w:rsid w:val="00512375"/>
    <w:rsid w:val="0052030E"/>
    <w:rsid w:val="00532384"/>
    <w:rsid w:val="005349BA"/>
    <w:rsid w:val="00540E64"/>
    <w:rsid w:val="00552D5C"/>
    <w:rsid w:val="00571DC8"/>
    <w:rsid w:val="00581678"/>
    <w:rsid w:val="005A7D6A"/>
    <w:rsid w:val="005B21E6"/>
    <w:rsid w:val="005B5976"/>
    <w:rsid w:val="005C27C7"/>
    <w:rsid w:val="005D3A5A"/>
    <w:rsid w:val="005D7860"/>
    <w:rsid w:val="005E3A57"/>
    <w:rsid w:val="006001D3"/>
    <w:rsid w:val="00603290"/>
    <w:rsid w:val="006052C2"/>
    <w:rsid w:val="0060633C"/>
    <w:rsid w:val="00613FAB"/>
    <w:rsid w:val="006435C3"/>
    <w:rsid w:val="0064613F"/>
    <w:rsid w:val="006734EF"/>
    <w:rsid w:val="00677C61"/>
    <w:rsid w:val="00686DDF"/>
    <w:rsid w:val="006A16EC"/>
    <w:rsid w:val="006C2B58"/>
    <w:rsid w:val="006E0A45"/>
    <w:rsid w:val="006F402E"/>
    <w:rsid w:val="007040CE"/>
    <w:rsid w:val="007068D3"/>
    <w:rsid w:val="00727EF3"/>
    <w:rsid w:val="00731818"/>
    <w:rsid w:val="00763252"/>
    <w:rsid w:val="00767014"/>
    <w:rsid w:val="007818C7"/>
    <w:rsid w:val="007B12BB"/>
    <w:rsid w:val="007B5DB7"/>
    <w:rsid w:val="007C4A1A"/>
    <w:rsid w:val="007C5B6F"/>
    <w:rsid w:val="007D1877"/>
    <w:rsid w:val="007F54F8"/>
    <w:rsid w:val="00800BF7"/>
    <w:rsid w:val="00805B74"/>
    <w:rsid w:val="00811F00"/>
    <w:rsid w:val="00812A1D"/>
    <w:rsid w:val="008255C4"/>
    <w:rsid w:val="008419F2"/>
    <w:rsid w:val="008439A2"/>
    <w:rsid w:val="00853EB3"/>
    <w:rsid w:val="008546EE"/>
    <w:rsid w:val="008657AA"/>
    <w:rsid w:val="00865830"/>
    <w:rsid w:val="0086587C"/>
    <w:rsid w:val="00870241"/>
    <w:rsid w:val="00875E29"/>
    <w:rsid w:val="00887917"/>
    <w:rsid w:val="00895808"/>
    <w:rsid w:val="00895DE7"/>
    <w:rsid w:val="008B37A7"/>
    <w:rsid w:val="008C05A0"/>
    <w:rsid w:val="008C18F2"/>
    <w:rsid w:val="008C46FD"/>
    <w:rsid w:val="008C6215"/>
    <w:rsid w:val="008D2997"/>
    <w:rsid w:val="008D4513"/>
    <w:rsid w:val="008E7B57"/>
    <w:rsid w:val="009127A3"/>
    <w:rsid w:val="00914FDF"/>
    <w:rsid w:val="00921F27"/>
    <w:rsid w:val="009348AC"/>
    <w:rsid w:val="009425D3"/>
    <w:rsid w:val="009517C6"/>
    <w:rsid w:val="00956E9B"/>
    <w:rsid w:val="0096341D"/>
    <w:rsid w:val="00963E22"/>
    <w:rsid w:val="00964376"/>
    <w:rsid w:val="00977D31"/>
    <w:rsid w:val="009816D8"/>
    <w:rsid w:val="0098735F"/>
    <w:rsid w:val="009A2D62"/>
    <w:rsid w:val="009C1C76"/>
    <w:rsid w:val="009C35F9"/>
    <w:rsid w:val="009C4F66"/>
    <w:rsid w:val="00A042D8"/>
    <w:rsid w:val="00A13521"/>
    <w:rsid w:val="00A2440C"/>
    <w:rsid w:val="00A2652A"/>
    <w:rsid w:val="00A30348"/>
    <w:rsid w:val="00A33834"/>
    <w:rsid w:val="00A50CAE"/>
    <w:rsid w:val="00A60C75"/>
    <w:rsid w:val="00A61B8C"/>
    <w:rsid w:val="00A63DB8"/>
    <w:rsid w:val="00A81B7C"/>
    <w:rsid w:val="00A82717"/>
    <w:rsid w:val="00A86987"/>
    <w:rsid w:val="00A95AC1"/>
    <w:rsid w:val="00AB2947"/>
    <w:rsid w:val="00AC16F5"/>
    <w:rsid w:val="00AC552D"/>
    <w:rsid w:val="00AC59FF"/>
    <w:rsid w:val="00AD5E8C"/>
    <w:rsid w:val="00AD7143"/>
    <w:rsid w:val="00AE5CCA"/>
    <w:rsid w:val="00AF1687"/>
    <w:rsid w:val="00B361E0"/>
    <w:rsid w:val="00B409CC"/>
    <w:rsid w:val="00B47A1F"/>
    <w:rsid w:val="00B6220B"/>
    <w:rsid w:val="00B91E14"/>
    <w:rsid w:val="00BA3FED"/>
    <w:rsid w:val="00BC3268"/>
    <w:rsid w:val="00BF6508"/>
    <w:rsid w:val="00C1528A"/>
    <w:rsid w:val="00C164BD"/>
    <w:rsid w:val="00C22A3D"/>
    <w:rsid w:val="00C43FB6"/>
    <w:rsid w:val="00C45F24"/>
    <w:rsid w:val="00C60CAD"/>
    <w:rsid w:val="00C90B25"/>
    <w:rsid w:val="00C941DD"/>
    <w:rsid w:val="00CA11D8"/>
    <w:rsid w:val="00CC685F"/>
    <w:rsid w:val="00CE4E55"/>
    <w:rsid w:val="00CF5FA7"/>
    <w:rsid w:val="00CF67EE"/>
    <w:rsid w:val="00D276A0"/>
    <w:rsid w:val="00D704D3"/>
    <w:rsid w:val="00D7217E"/>
    <w:rsid w:val="00D80639"/>
    <w:rsid w:val="00D962AE"/>
    <w:rsid w:val="00DA0642"/>
    <w:rsid w:val="00DA20BB"/>
    <w:rsid w:val="00DB0D25"/>
    <w:rsid w:val="00DC193C"/>
    <w:rsid w:val="00DC5B83"/>
    <w:rsid w:val="00DC7547"/>
    <w:rsid w:val="00DC7F92"/>
    <w:rsid w:val="00DF3818"/>
    <w:rsid w:val="00DF6684"/>
    <w:rsid w:val="00E0253A"/>
    <w:rsid w:val="00E0449D"/>
    <w:rsid w:val="00E051F3"/>
    <w:rsid w:val="00E23ECF"/>
    <w:rsid w:val="00E321CC"/>
    <w:rsid w:val="00E33870"/>
    <w:rsid w:val="00E40622"/>
    <w:rsid w:val="00E457AF"/>
    <w:rsid w:val="00E66A22"/>
    <w:rsid w:val="00E72D31"/>
    <w:rsid w:val="00EB1492"/>
    <w:rsid w:val="00EB49B1"/>
    <w:rsid w:val="00EC5CC1"/>
    <w:rsid w:val="00ED31C8"/>
    <w:rsid w:val="00ED687A"/>
    <w:rsid w:val="00EE03FE"/>
    <w:rsid w:val="00EF46BE"/>
    <w:rsid w:val="00F04761"/>
    <w:rsid w:val="00F12134"/>
    <w:rsid w:val="00F4223E"/>
    <w:rsid w:val="00F44088"/>
    <w:rsid w:val="00F50775"/>
    <w:rsid w:val="00F55C18"/>
    <w:rsid w:val="00F6333E"/>
    <w:rsid w:val="00F66D69"/>
    <w:rsid w:val="00F66E54"/>
    <w:rsid w:val="00F71ECE"/>
    <w:rsid w:val="00F80963"/>
    <w:rsid w:val="00F83B4B"/>
    <w:rsid w:val="00FA39CB"/>
    <w:rsid w:val="00FC1B1D"/>
    <w:rsid w:val="00FD21FC"/>
    <w:rsid w:val="15928AE7"/>
    <w:rsid w:val="1B9DD8B8"/>
    <w:rsid w:val="29B13033"/>
    <w:rsid w:val="29F77946"/>
    <w:rsid w:val="2AAD5822"/>
    <w:rsid w:val="30F34EC5"/>
    <w:rsid w:val="3800317D"/>
    <w:rsid w:val="42093A86"/>
    <w:rsid w:val="437D6A3A"/>
    <w:rsid w:val="4E62E916"/>
    <w:rsid w:val="51DB89D2"/>
    <w:rsid w:val="62E4436A"/>
    <w:rsid w:val="703D2C0C"/>
    <w:rsid w:val="72955D66"/>
    <w:rsid w:val="7E6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98E"/>
  <w15:chartTrackingRefBased/>
  <w15:docId w15:val="{A6565F7D-B4CE-42F5-99D0-AA42AE39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86"/>
    <w:pPr>
      <w:spacing w:after="0" w:line="240" w:lineRule="auto"/>
      <w:jc w:val="center"/>
    </w:pPr>
    <w:rPr>
      <w:rFonts w:ascii="Arial" w:eastAsia="Calibri" w:hAnsi="Arial" w:cs="Times New Roma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1D3"/>
    <w:pPr>
      <w:keepNext/>
      <w:keepLines/>
      <w:suppressAutoHyphens/>
      <w:autoSpaceDN w:val="0"/>
      <w:spacing w:before="240"/>
      <w:jc w:val="left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1D3"/>
    <w:pPr>
      <w:keepNext/>
      <w:keepLines/>
      <w:suppressAutoHyphens/>
      <w:autoSpaceDN w:val="0"/>
      <w:spacing w:before="40"/>
      <w:ind w:left="709" w:hanging="425"/>
      <w:jc w:val="left"/>
      <w:outlineLvl w:val="1"/>
    </w:pPr>
    <w:rPr>
      <w:rFonts w:eastAsia="Yu Gothic Light" w:cs="Arial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632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63252"/>
  </w:style>
  <w:style w:type="paragraph" w:styleId="Footer">
    <w:name w:val="footer"/>
    <w:basedOn w:val="Normal"/>
    <w:link w:val="FooterChar"/>
    <w:unhideWhenUsed/>
    <w:rsid w:val="007632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63252"/>
  </w:style>
  <w:style w:type="paragraph" w:customStyle="1" w:styleId="Default">
    <w:name w:val="Default"/>
    <w:rsid w:val="00763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27091E"/>
    <w:pPr>
      <w:spacing w:after="0" w:line="240" w:lineRule="auto"/>
      <w:jc w:val="center"/>
    </w:pPr>
    <w:rPr>
      <w:rFonts w:ascii="Arial" w:eastAsia="Calibri" w:hAnsi="Arial" w:cs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3E1F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01D3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01D3"/>
    <w:rPr>
      <w:rFonts w:ascii="Arial" w:eastAsia="Yu Gothic Light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rsid w:val="006001D3"/>
    <w:pPr>
      <w:spacing w:line="256" w:lineRule="auto"/>
    </w:pPr>
    <w:rPr>
      <w:lang w:val="en-US"/>
    </w:rPr>
  </w:style>
  <w:style w:type="paragraph" w:styleId="TOC1">
    <w:name w:val="toc 1"/>
    <w:basedOn w:val="Normal"/>
    <w:next w:val="Normal"/>
    <w:autoRedefine/>
    <w:rsid w:val="006001D3"/>
    <w:pPr>
      <w:suppressAutoHyphens/>
      <w:autoSpaceDN w:val="0"/>
      <w:spacing w:before="120"/>
      <w:jc w:val="left"/>
    </w:pPr>
    <w:rPr>
      <w:rFonts w:ascii="Calibri" w:hAnsi="Calibri" w:cs="Calibri"/>
      <w:b/>
      <w:bCs/>
      <w:i/>
      <w:iCs/>
      <w:szCs w:val="24"/>
    </w:rPr>
  </w:style>
  <w:style w:type="character" w:styleId="Hyperlink">
    <w:name w:val="Hyperlink"/>
    <w:basedOn w:val="DefaultParagraphFont"/>
    <w:rsid w:val="006001D3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6001D3"/>
  </w:style>
  <w:style w:type="paragraph" w:customStyle="1" w:styleId="paragraph">
    <w:name w:val="paragraph"/>
    <w:basedOn w:val="Normal"/>
    <w:rsid w:val="006001D3"/>
    <w:pPr>
      <w:suppressAutoHyphens/>
      <w:autoSpaceDN w:val="0"/>
      <w:spacing w:before="100" w:after="100"/>
      <w:jc w:val="left"/>
    </w:pPr>
    <w:rPr>
      <w:rFonts w:ascii="Times New Roman" w:eastAsia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6001D3"/>
  </w:style>
  <w:style w:type="paragraph" w:styleId="Quote">
    <w:name w:val="Quote"/>
    <w:basedOn w:val="Normal"/>
    <w:next w:val="Normal"/>
    <w:link w:val="QuoteChar"/>
    <w:rsid w:val="006001D3"/>
    <w:pPr>
      <w:suppressAutoHyphens/>
      <w:autoSpaceDN w:val="0"/>
      <w:spacing w:before="200" w:after="160"/>
      <w:ind w:left="864"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rsid w:val="006001D3"/>
    <w:rPr>
      <w:rFonts w:ascii="Arial" w:eastAsia="Calibri" w:hAnsi="Arial" w:cs="Times New Roman"/>
      <w:i/>
      <w:iCs/>
      <w:color w:val="404040"/>
      <w:sz w:val="24"/>
      <w:szCs w:val="28"/>
    </w:rPr>
  </w:style>
  <w:style w:type="paragraph" w:styleId="TOC2">
    <w:name w:val="toc 2"/>
    <w:basedOn w:val="Normal"/>
    <w:next w:val="Normal"/>
    <w:autoRedefine/>
    <w:rsid w:val="006001D3"/>
    <w:pPr>
      <w:suppressAutoHyphens/>
      <w:autoSpaceDN w:val="0"/>
      <w:spacing w:before="120"/>
      <w:ind w:left="240"/>
      <w:jc w:val="left"/>
    </w:pPr>
    <w:rPr>
      <w:rFonts w:ascii="Calibri" w:hAnsi="Calibri" w:cs="Calibri"/>
      <w:b/>
      <w:bCs/>
      <w:sz w:val="22"/>
      <w:szCs w:val="22"/>
    </w:rPr>
  </w:style>
  <w:style w:type="paragraph" w:styleId="TOC3">
    <w:name w:val="toc 3"/>
    <w:basedOn w:val="Normal"/>
    <w:next w:val="Normal"/>
    <w:autoRedefine/>
    <w:rsid w:val="006001D3"/>
    <w:pPr>
      <w:suppressAutoHyphens/>
      <w:autoSpaceDN w:val="0"/>
      <w:ind w:left="480"/>
      <w:jc w:val="left"/>
    </w:pPr>
    <w:rPr>
      <w:rFonts w:ascii="Calibri" w:hAnsi="Calibri" w:cs="Calibri"/>
      <w:sz w:val="20"/>
      <w:szCs w:val="20"/>
    </w:rPr>
  </w:style>
  <w:style w:type="paragraph" w:styleId="NormalWeb">
    <w:name w:val="Normal (Web)"/>
    <w:basedOn w:val="Normal"/>
    <w:rsid w:val="006001D3"/>
    <w:pPr>
      <w:suppressAutoHyphens/>
      <w:autoSpaceDN w:val="0"/>
      <w:jc w:val="left"/>
    </w:pPr>
    <w:rPr>
      <w:rFonts w:ascii="Calibri" w:hAnsi="Calibri" w:cs="Calibri"/>
      <w:sz w:val="22"/>
      <w:szCs w:val="22"/>
      <w:lang w:eastAsia="en-GB"/>
    </w:rPr>
  </w:style>
  <w:style w:type="character" w:styleId="Strong">
    <w:name w:val="Strong"/>
    <w:basedOn w:val="DefaultParagraphFont"/>
    <w:rsid w:val="006001D3"/>
    <w:rPr>
      <w:b/>
      <w:bCs/>
    </w:rPr>
  </w:style>
  <w:style w:type="paragraph" w:styleId="TOC4">
    <w:name w:val="toc 4"/>
    <w:basedOn w:val="Normal"/>
    <w:next w:val="Normal"/>
    <w:autoRedefine/>
    <w:rsid w:val="006001D3"/>
    <w:pPr>
      <w:suppressAutoHyphens/>
      <w:autoSpaceDN w:val="0"/>
      <w:ind w:left="720"/>
      <w:jc w:val="left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rsid w:val="006001D3"/>
    <w:pPr>
      <w:suppressAutoHyphens/>
      <w:autoSpaceDN w:val="0"/>
      <w:ind w:left="960"/>
      <w:jc w:val="left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6001D3"/>
    <w:pPr>
      <w:suppressAutoHyphens/>
      <w:autoSpaceDN w:val="0"/>
      <w:ind w:left="1200"/>
      <w:jc w:val="left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6001D3"/>
    <w:pPr>
      <w:suppressAutoHyphens/>
      <w:autoSpaceDN w:val="0"/>
      <w:ind w:left="144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6001D3"/>
    <w:pPr>
      <w:suppressAutoHyphens/>
      <w:autoSpaceDN w:val="0"/>
      <w:ind w:left="1680"/>
      <w:jc w:val="left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6001D3"/>
    <w:pPr>
      <w:suppressAutoHyphens/>
      <w:autoSpaceDN w:val="0"/>
      <w:ind w:left="1920"/>
      <w:jc w:val="left"/>
    </w:pPr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1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29B"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29B"/>
    <w:rPr>
      <w:sz w:val="20"/>
      <w:szCs w:val="20"/>
    </w:rPr>
  </w:style>
  <w:style w:type="paragraph" w:styleId="Revision">
    <w:name w:val="Revision"/>
    <w:hidden/>
    <w:uiPriority w:val="99"/>
    <w:semiHidden/>
    <w:rsid w:val="00EC5CC1"/>
    <w:pPr>
      <w:spacing w:after="0" w:line="240" w:lineRule="auto"/>
    </w:pPr>
    <w:rPr>
      <w:rFonts w:ascii="Arial" w:eastAsia="Calibri" w:hAnsi="Arial" w:cs="Times New Roman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E3A57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PlainTable41">
    <w:name w:val="Plain Table 41"/>
    <w:basedOn w:val="TableNormal"/>
    <w:uiPriority w:val="44"/>
    <w:rsid w:val="003D6A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04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bmat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ac6e3-555a-4be7-9bc9-86ab981e4441">
      <Terms xmlns="http://schemas.microsoft.com/office/infopath/2007/PartnerControls"/>
    </lcf76f155ced4ddcb4097134ff3c332f>
    <TaxCatchAll xmlns="5a41dd5c-644e-4e6a-b7de-528518751b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D8174EDFEF44BBF44503DF139B1E" ma:contentTypeVersion="15" ma:contentTypeDescription="Create a new document." ma:contentTypeScope="" ma:versionID="c9d6942a5d51fbdbefb74d39d209545c">
  <xsd:schema xmlns:xsd="http://www.w3.org/2001/XMLSchema" xmlns:xs="http://www.w3.org/2001/XMLSchema" xmlns:p="http://schemas.microsoft.com/office/2006/metadata/properties" xmlns:ns2="c0dac6e3-555a-4be7-9bc9-86ab981e4441" xmlns:ns3="5a41dd5c-644e-4e6a-b7de-528518751b87" targetNamespace="http://schemas.microsoft.com/office/2006/metadata/properties" ma:root="true" ma:fieldsID="a837c75d7679836172d6780c7f287492" ns2:_="" ns3:_="">
    <xsd:import namespace="c0dac6e3-555a-4be7-9bc9-86ab981e4441"/>
    <xsd:import namespace="5a41dd5c-644e-4e6a-b7de-528518751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c6e3-555a-4be7-9bc9-86ab981e4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dd5c-644e-4e6a-b7de-528518751b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465157-f305-4874-8cdc-a416b882844a}" ma:internalName="TaxCatchAll" ma:showField="CatchAllData" ma:web="5a41dd5c-644e-4e6a-b7de-52851875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8795D-5E6D-44E2-8802-9574542A1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4033E-8584-4C88-871B-3468F6B0BC02}">
  <ds:schemaRefs>
    <ds:schemaRef ds:uri="http://schemas.microsoft.com/office/2006/metadata/properties"/>
    <ds:schemaRef ds:uri="http://schemas.microsoft.com/office/infopath/2007/PartnerControls"/>
    <ds:schemaRef ds:uri="c0dac6e3-555a-4be7-9bc9-86ab981e4441"/>
    <ds:schemaRef ds:uri="5a41dd5c-644e-4e6a-b7de-528518751b87"/>
  </ds:schemaRefs>
</ds:datastoreItem>
</file>

<file path=customXml/itemProps3.xml><?xml version="1.0" encoding="utf-8"?>
<ds:datastoreItem xmlns:ds="http://schemas.openxmlformats.org/officeDocument/2006/customXml" ds:itemID="{599C5894-95B7-423A-8FD1-74065AA3AD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90CA99-0166-4A7B-B06F-F51FAFB0D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ac6e3-555a-4be7-9bc9-86ab981e4441"/>
    <ds:schemaRef ds:uri="5a41dd5c-644e-4e6a-b7de-528518751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 Goodwin</dc:creator>
  <cp:keywords/>
  <dc:description/>
  <cp:lastModifiedBy>J Reynolds - BMAT</cp:lastModifiedBy>
  <cp:revision>7</cp:revision>
  <cp:lastPrinted>2024-10-29T09:42:00Z</cp:lastPrinted>
  <dcterms:created xsi:type="dcterms:W3CDTF">2024-10-29T09:44:00Z</dcterms:created>
  <dcterms:modified xsi:type="dcterms:W3CDTF">2025-03-11T14:18:00Z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0x01010045B9D8174EDFEF44BBF44503DF139B1E</vt:lpwstr>
  </property>
  <property fmtid="{D5CDD505-2E9C-101B-9397-08002B2CF9AE}" pid="3" name="MediaServiceImageTags">
    <vt:lpwstr/>
  </property>
</Properties>
</file>